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4C" w:rsidRDefault="00120B4C" w:rsidP="00120B4C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Мензелинского муниципального</w:t>
      </w:r>
    </w:p>
    <w:p w:rsidR="00120B4C" w:rsidRDefault="00120B4C" w:rsidP="00120B4C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 Республики Татарстан РТ</w:t>
      </w:r>
    </w:p>
    <w:p w:rsidR="00120B4C" w:rsidRDefault="00120B4C" w:rsidP="00120B4C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А.Ф. Салахову</w:t>
      </w:r>
    </w:p>
    <w:p w:rsidR="00120B4C" w:rsidRDefault="00120B4C" w:rsidP="00120B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B4C" w:rsidRDefault="00120B4C" w:rsidP="00120B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B4C" w:rsidRPr="00120B4C" w:rsidRDefault="00120B4C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4C">
        <w:rPr>
          <w:rFonts w:ascii="Times New Roman" w:hAnsi="Times New Roman"/>
          <w:color w:val="000000" w:themeColor="text1"/>
          <w:sz w:val="28"/>
          <w:szCs w:val="28"/>
        </w:rPr>
        <w:t>На основе анализа обращений граждан поступивших за 1 полугодие 2020 года, представляю информацию об их количестве и содержательной части.</w:t>
      </w:r>
    </w:p>
    <w:p w:rsidR="002821DF" w:rsidRDefault="00120B4C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EA">
        <w:rPr>
          <w:rFonts w:ascii="Times New Roman" w:hAnsi="Times New Roman"/>
          <w:color w:val="000000" w:themeColor="text1"/>
          <w:sz w:val="28"/>
          <w:szCs w:val="28"/>
        </w:rPr>
        <w:t>В течение указанного периода поступило</w:t>
      </w:r>
      <w:r w:rsidR="0062732D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0D02AE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(2019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262EA">
        <w:rPr>
          <w:rFonts w:ascii="Times New Roman" w:hAnsi="Times New Roman"/>
          <w:color w:val="000000" w:themeColor="text1"/>
          <w:sz w:val="28"/>
          <w:szCs w:val="28"/>
        </w:rPr>
        <w:t>281</w:t>
      </w:r>
      <w:r w:rsidR="000D02AE">
        <w:rPr>
          <w:rFonts w:ascii="Times New Roman" w:hAnsi="Times New Roman"/>
          <w:color w:val="000000" w:themeColor="text1"/>
          <w:sz w:val="28"/>
          <w:szCs w:val="28"/>
        </w:rPr>
        <w:t>) из них:</w:t>
      </w:r>
    </w:p>
    <w:p w:rsidR="002821DF" w:rsidRDefault="002821DF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2AE">
        <w:rPr>
          <w:rFonts w:ascii="Times New Roman" w:hAnsi="Times New Roman"/>
          <w:color w:val="000000" w:themeColor="text1"/>
          <w:sz w:val="28"/>
          <w:szCs w:val="28"/>
        </w:rPr>
        <w:t xml:space="preserve">-167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(2019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-156) 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>письменных обращений</w:t>
      </w:r>
    </w:p>
    <w:p w:rsidR="000D02AE" w:rsidRDefault="000D02AE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- 62</w:t>
      </w:r>
      <w:r w:rsidR="00262F0F">
        <w:rPr>
          <w:rFonts w:ascii="Times New Roman" w:hAnsi="Times New Roman"/>
          <w:color w:val="000000" w:themeColor="text1"/>
          <w:sz w:val="28"/>
          <w:szCs w:val="28"/>
        </w:rPr>
        <w:t xml:space="preserve"> (2019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262F0F">
        <w:rPr>
          <w:rFonts w:ascii="Times New Roman" w:hAnsi="Times New Roman"/>
          <w:color w:val="000000" w:themeColor="text1"/>
          <w:sz w:val="28"/>
          <w:szCs w:val="28"/>
        </w:rPr>
        <w:t>-79)гражданина обратилось в ходе личного приема</w:t>
      </w:r>
      <w:r w:rsidR="002821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D02AE" w:rsidRDefault="000D02AE" w:rsidP="007D69A6">
      <w:pPr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262EA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262F0F">
        <w:rPr>
          <w:rFonts w:ascii="Times New Roman" w:hAnsi="Times New Roman"/>
          <w:color w:val="000000" w:themeColor="text1"/>
          <w:sz w:val="28"/>
          <w:szCs w:val="28"/>
        </w:rPr>
        <w:t xml:space="preserve"> (2019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262F0F">
        <w:rPr>
          <w:rFonts w:ascii="Times New Roman" w:hAnsi="Times New Roman"/>
          <w:color w:val="000000" w:themeColor="text1"/>
          <w:sz w:val="28"/>
          <w:szCs w:val="28"/>
        </w:rPr>
        <w:t>-23)</w:t>
      </w:r>
      <w:r w:rsidR="00120B4C" w:rsidRPr="003262EA">
        <w:rPr>
          <w:rFonts w:ascii="Times New Roman" w:hAnsi="Times New Roman"/>
          <w:color w:val="000000" w:themeColor="text1"/>
          <w:sz w:val="28"/>
          <w:szCs w:val="28"/>
        </w:rPr>
        <w:t>писем, запросов и ответов структурных подразделений, связанных с обращениями граждан</w:t>
      </w:r>
    </w:p>
    <w:p w:rsidR="00815D4C" w:rsidRDefault="00815D4C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Среди поступившей корреспонденции  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 (2019г.-10)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анонимных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обращений, 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8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коллективных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(2019г.-9)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содержащих 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317 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подписи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(2019г.-490)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20B4C" w:rsidRPr="0001344B" w:rsidRDefault="00120B4C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Всего за 1 </w:t>
      </w:r>
      <w:r w:rsidR="003262EA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полугодие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было организовано </w:t>
      </w:r>
      <w:r w:rsidR="003262EA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62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прием</w:t>
      </w:r>
      <w:r w:rsidR="003262EA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граждан, в ходе которых Главой района было принято </w:t>
      </w:r>
      <w:r w:rsidR="003262EA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31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руководителем исполнительного комитета</w:t>
      </w:r>
      <w:r w:rsidR="003262EA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ММР РТ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</w:t>
      </w:r>
      <w:r w:rsidR="003262EA" w:rsidRPr="003262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20</w:t>
      </w:r>
      <w:r w:rsidR="00320AC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320AC1" w:rsidRPr="00320A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руководител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ем</w:t>
      </w:r>
      <w:r w:rsidR="00320AC1" w:rsidRPr="00320A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20A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Исполнительного комитета 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города Мензелинск принято</w:t>
      </w:r>
      <w:r w:rsidR="00320AC1" w:rsidRPr="00320A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11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20AC1" w:rsidRPr="00320A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граждан</w:t>
      </w:r>
      <w:r w:rsidR="00320A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20AC1" w:rsidRPr="000134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E45BD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</w:t>
      </w:r>
      <w:r w:rsidR="00320AC1" w:rsidRPr="0001344B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анализе отражено только количество граждан, принятых  в единый день </w:t>
      </w:r>
      <w:proofErr w:type="gramStart"/>
      <w:r w:rsidR="00320AC1" w:rsidRPr="0001344B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приема-вторник</w:t>
      </w:r>
      <w:proofErr w:type="gramEnd"/>
      <w:r w:rsidR="00320AC1" w:rsidRPr="0001344B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).</w:t>
      </w:r>
    </w:p>
    <w:p w:rsidR="009B4685" w:rsidRDefault="009B4685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B4685" w:rsidRPr="0001344B" w:rsidRDefault="009B4685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344B">
        <w:rPr>
          <w:rFonts w:ascii="Times New Roman" w:hAnsi="Times New Roman"/>
          <w:color w:val="000000" w:themeColor="text1"/>
          <w:sz w:val="28"/>
          <w:szCs w:val="28"/>
        </w:rPr>
        <w:t>Обзор обращений показывают, что рост обращений приходился на период объявления карантина (жители обращались по вопросам организации торговли, оплат</w:t>
      </w:r>
      <w:r w:rsidR="00974BE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за дошкольн</w:t>
      </w:r>
      <w:r w:rsidR="007D69A6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учреждения, порядк</w:t>
      </w:r>
      <w:r w:rsidR="00974BE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выезда за пределы города, республики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 xml:space="preserve"> и др.</w:t>
      </w: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</w:p>
    <w:p w:rsidR="007D69A6" w:rsidRDefault="007D69A6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20AC1" w:rsidRDefault="00320AC1" w:rsidP="007D69A6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20A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Вид доставки обращений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320A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табл.1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показывает, что большинство обращений поступило</w:t>
      </w:r>
      <w:r w:rsidR="006810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ходе личного приема, далее </w:t>
      </w:r>
      <w:proofErr w:type="gramStart"/>
      <w:r w:rsidR="006810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через</w:t>
      </w:r>
      <w:proofErr w:type="gramEnd"/>
      <w:r w:rsidR="0068109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электронный документооборот-58 обращений.</w:t>
      </w:r>
    </w:p>
    <w:p w:rsidR="009B5EB0" w:rsidRDefault="009B5EB0" w:rsidP="009B5EB0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B5EB0" w:rsidRPr="009B5EB0" w:rsidRDefault="009B5EB0" w:rsidP="009B5EB0">
      <w:p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B5EB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Таблица.1</w:t>
      </w:r>
    </w:p>
    <w:tbl>
      <w:tblPr>
        <w:tblW w:w="9767" w:type="dxa"/>
        <w:tblInd w:w="93" w:type="dxa"/>
        <w:tblLook w:val="04A0" w:firstRow="1" w:lastRow="0" w:firstColumn="1" w:lastColumn="0" w:noHBand="0" w:noVBand="1"/>
      </w:tblPr>
      <w:tblGrid>
        <w:gridCol w:w="2992"/>
        <w:gridCol w:w="1276"/>
        <w:gridCol w:w="1330"/>
        <w:gridCol w:w="1306"/>
        <w:gridCol w:w="1435"/>
        <w:gridCol w:w="1529"/>
      </w:tblGrid>
      <w:tr w:rsidR="00943C4B" w:rsidRPr="00943C4B" w:rsidTr="00AC2F2E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943C4B" w:rsidRPr="009B5EB0" w:rsidRDefault="00943C4B" w:rsidP="009B5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 доставки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943C4B" w:rsidRPr="009B5EB0" w:rsidRDefault="00943C4B" w:rsidP="009B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943C4B" w:rsidRPr="009B5EB0" w:rsidRDefault="00943C4B" w:rsidP="009B5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943C4B" w:rsidRPr="009B5EB0" w:rsidRDefault="00943C4B" w:rsidP="009B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943C4B" w:rsidRPr="009B5EB0" w:rsidRDefault="00943C4B" w:rsidP="009B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Документы с данными гражданина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:rsidR="00943C4B" w:rsidRPr="009B5EB0" w:rsidRDefault="00943C4B" w:rsidP="009B5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E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 указаны данные гражданина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Курьер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Фельдсвязь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руки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Интернет-приемная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Личный прием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Телефонный звонок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МЭДО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Обращения граждан с ЕСИА (294-ФЗ)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C4B" w:rsidRPr="00943C4B" w:rsidTr="00AC2F2E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3C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4B" w:rsidRPr="00943C4B" w:rsidRDefault="00943C4B" w:rsidP="0094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10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</w:tbl>
    <w:p w:rsidR="00320AC1" w:rsidRDefault="00320AC1" w:rsidP="00120B4C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15D4C" w:rsidRDefault="00120B4C" w:rsidP="00120B4C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092">
        <w:rPr>
          <w:rFonts w:ascii="Times New Roman" w:hAnsi="Times New Roman"/>
          <w:color w:val="000000" w:themeColor="text1"/>
          <w:sz w:val="28"/>
          <w:szCs w:val="28"/>
        </w:rPr>
        <w:t xml:space="preserve">С Аппарата Правительства Российской Федерации, Управления Президента Российской Федерации, Президента Республики Татарстан поступило </w:t>
      </w:r>
      <w:r w:rsidR="00681092">
        <w:rPr>
          <w:rFonts w:ascii="Times New Roman" w:hAnsi="Times New Roman"/>
          <w:b/>
          <w:color w:val="000000" w:themeColor="text1"/>
          <w:sz w:val="28"/>
          <w:szCs w:val="28"/>
        </w:rPr>
        <w:t>22</w:t>
      </w:r>
      <w:r w:rsidRPr="00E45BD0">
        <w:rPr>
          <w:rFonts w:ascii="Times New Roman" w:hAnsi="Times New Roman"/>
          <w:color w:val="000000" w:themeColor="text1"/>
          <w:sz w:val="28"/>
          <w:szCs w:val="28"/>
        </w:rPr>
        <w:t>(2019-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E45BD0">
        <w:rPr>
          <w:rFonts w:ascii="Times New Roman" w:hAnsi="Times New Roman"/>
          <w:color w:val="000000" w:themeColor="text1"/>
          <w:sz w:val="28"/>
          <w:szCs w:val="28"/>
        </w:rPr>
        <w:t>)  обращени</w:t>
      </w:r>
      <w:r w:rsidR="00974BE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E45BD0">
        <w:rPr>
          <w:rFonts w:ascii="Times New Roman" w:hAnsi="Times New Roman"/>
          <w:color w:val="000000" w:themeColor="text1"/>
          <w:sz w:val="28"/>
          <w:szCs w:val="28"/>
        </w:rPr>
        <w:t xml:space="preserve">, из них </w:t>
      </w:r>
      <w:r w:rsidR="00681092" w:rsidRPr="00E45BD0">
        <w:rPr>
          <w:rFonts w:ascii="Times New Roman" w:hAnsi="Times New Roman"/>
          <w:b/>
          <w:color w:val="000000" w:themeColor="text1"/>
          <w:sz w:val="28"/>
          <w:szCs w:val="28"/>
        </w:rPr>
        <w:t>13</w:t>
      </w:r>
      <w:r w:rsidRPr="00E45BD0">
        <w:rPr>
          <w:rFonts w:ascii="Times New Roman" w:hAnsi="Times New Roman"/>
          <w:color w:val="000000" w:themeColor="text1"/>
          <w:sz w:val="28"/>
          <w:szCs w:val="28"/>
        </w:rPr>
        <w:t xml:space="preserve"> (2019-</w:t>
      </w:r>
      <w:r w:rsidR="00E45BD0" w:rsidRPr="00E45BD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45BD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81092">
        <w:rPr>
          <w:rFonts w:ascii="Times New Roman" w:hAnsi="Times New Roman"/>
          <w:color w:val="000000" w:themeColor="text1"/>
          <w:sz w:val="28"/>
          <w:szCs w:val="28"/>
        </w:rPr>
        <w:t xml:space="preserve"> поручений  контрольных.</w:t>
      </w:r>
    </w:p>
    <w:p w:rsidR="00815D4C" w:rsidRPr="00815D4C" w:rsidRDefault="00815D4C" w:rsidP="00815D4C">
      <w:pPr>
        <w:spacing w:after="0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15D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сегодняшний день по  контрольному обращению </w:t>
      </w:r>
      <w:proofErr w:type="spellStart"/>
      <w:r w:rsidRPr="00815D4C">
        <w:rPr>
          <w:rFonts w:ascii="Times New Roman" w:hAnsi="Times New Roman"/>
          <w:i/>
          <w:color w:val="000000" w:themeColor="text1"/>
          <w:sz w:val="28"/>
          <w:szCs w:val="28"/>
        </w:rPr>
        <w:t>Фархетдиновой</w:t>
      </w:r>
      <w:proofErr w:type="spellEnd"/>
      <w:r w:rsidRPr="00815D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Т.М. о перебоях в водоснабжении  в д. </w:t>
      </w:r>
      <w:proofErr w:type="spellStart"/>
      <w:r w:rsidRPr="00815D4C">
        <w:rPr>
          <w:rFonts w:ascii="Times New Roman" w:hAnsi="Times New Roman"/>
          <w:i/>
          <w:color w:val="000000" w:themeColor="text1"/>
          <w:sz w:val="28"/>
          <w:szCs w:val="28"/>
        </w:rPr>
        <w:t>Бикбулово</w:t>
      </w:r>
      <w:proofErr w:type="spellEnd"/>
      <w:r w:rsidRPr="00815D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ММР РТ Аппаратом Президента РТ  срок продлен до 05.10.2020г. (в связи с запланированными работами  в 3 квартале 2020 года)</w:t>
      </w:r>
    </w:p>
    <w:p w:rsidR="00815D4C" w:rsidRPr="00120B4C" w:rsidRDefault="00815D4C" w:rsidP="00815D4C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120B4C" w:rsidRPr="002E6526" w:rsidRDefault="00120B4C" w:rsidP="007D69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E652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Количество обращений граждан, поступивших в отчетный период, в </w:t>
      </w:r>
      <w:proofErr w:type="gramStart"/>
      <w:r w:rsidRPr="002E652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разрезе</w:t>
      </w:r>
      <w:proofErr w:type="gramEnd"/>
      <w:r w:rsidRPr="002E652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территориальной принадлежности. Учитываются только те обращения, в которых указаны </w:t>
      </w:r>
      <w:r w:rsidR="00413381" w:rsidRPr="002E652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место жительства заявителя</w:t>
      </w:r>
      <w:r w:rsidRPr="002E652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413381" w:rsidRDefault="00413381" w:rsidP="00120B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7381" w:type="dxa"/>
        <w:tblInd w:w="98" w:type="dxa"/>
        <w:tblLook w:val="04A0" w:firstRow="1" w:lastRow="0" w:firstColumn="1" w:lastColumn="0" w:noHBand="0" w:noVBand="1"/>
      </w:tblPr>
      <w:tblGrid>
        <w:gridCol w:w="5680"/>
        <w:gridCol w:w="1701"/>
      </w:tblGrid>
      <w:tr w:rsidR="00413381" w:rsidRPr="00413381" w:rsidTr="007D69A6">
        <w:trPr>
          <w:trHeight w:val="315"/>
        </w:trPr>
        <w:tc>
          <w:tcPr>
            <w:tcW w:w="5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Район/Город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Всего</w:t>
            </w:r>
          </w:p>
        </w:tc>
      </w:tr>
      <w:tr w:rsidR="00413381" w:rsidRPr="00413381" w:rsidTr="007D69A6">
        <w:trPr>
          <w:trHeight w:val="330"/>
        </w:trPr>
        <w:tc>
          <w:tcPr>
            <w:tcW w:w="5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  <w:tr w:rsidR="00413381" w:rsidRPr="00413381" w:rsidTr="002E6526">
        <w:trPr>
          <w:trHeight w:val="315"/>
        </w:trPr>
        <w:tc>
          <w:tcPr>
            <w:tcW w:w="7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Данные по районам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Казань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Набережные Челны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proofErr w:type="spellStart"/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Альметьевский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>Мензелинский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>123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Нижнекамский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Нефтекамск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Кинешма (Ивановская об-</w:t>
            </w:r>
            <w:proofErr w:type="spellStart"/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ть</w:t>
            </w:r>
            <w:proofErr w:type="spellEnd"/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proofErr w:type="gramStart"/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Артёмовский городской округ (приморский край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Ижевск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proofErr w:type="spellStart"/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Тимашевский</w:t>
            </w:r>
            <w:proofErr w:type="spellEnd"/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район (Краснодарский край)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Москва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413381" w:rsidRPr="00413381" w:rsidTr="007D69A6">
        <w:trPr>
          <w:trHeight w:val="315"/>
        </w:trPr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Итого по районам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3381" w:rsidRPr="00413381" w:rsidRDefault="00413381" w:rsidP="0041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13381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158</w:t>
            </w:r>
          </w:p>
        </w:tc>
      </w:tr>
    </w:tbl>
    <w:p w:rsidR="00413381" w:rsidRDefault="00413381" w:rsidP="00120B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86DC7" w:rsidRPr="00B86DC7" w:rsidRDefault="00120B4C" w:rsidP="00120B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6DC7">
        <w:rPr>
          <w:rFonts w:ascii="Times New Roman" w:hAnsi="Times New Roman"/>
          <w:color w:val="000000" w:themeColor="text1"/>
          <w:sz w:val="28"/>
          <w:szCs w:val="28"/>
        </w:rPr>
        <w:t xml:space="preserve">За 1 </w:t>
      </w:r>
      <w:r w:rsidR="002E6526" w:rsidRPr="00B86DC7">
        <w:rPr>
          <w:rFonts w:ascii="Times New Roman" w:hAnsi="Times New Roman"/>
          <w:color w:val="000000" w:themeColor="text1"/>
          <w:sz w:val="28"/>
          <w:szCs w:val="28"/>
        </w:rPr>
        <w:t>полугодие</w:t>
      </w:r>
      <w:r w:rsidRPr="00B86DC7">
        <w:rPr>
          <w:rFonts w:ascii="Times New Roman" w:hAnsi="Times New Roman"/>
          <w:color w:val="000000" w:themeColor="text1"/>
          <w:sz w:val="28"/>
          <w:szCs w:val="28"/>
        </w:rPr>
        <w:t xml:space="preserve"> 2020 года наибольшее количество обращений поступило от жителей Мензелинского района, из них от жителей города- </w:t>
      </w:r>
      <w:r w:rsidR="00B86DC7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Pr="00B86DC7">
        <w:rPr>
          <w:rFonts w:ascii="Times New Roman" w:hAnsi="Times New Roman"/>
          <w:color w:val="000000" w:themeColor="text1"/>
          <w:sz w:val="28"/>
          <w:szCs w:val="28"/>
        </w:rPr>
        <w:t>, из сельских поселений –</w:t>
      </w:r>
      <w:r w:rsidR="00B86DC7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B86DC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(преобладают обращения  с д. </w:t>
      </w:r>
      <w:proofErr w:type="spellStart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В.Такермен</w:t>
      </w:r>
      <w:proofErr w:type="spellEnd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Коноваловка, Новое </w:t>
      </w:r>
      <w:proofErr w:type="spellStart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Мазино</w:t>
      </w:r>
      <w:proofErr w:type="spellEnd"/>
      <w:r w:rsidR="00B86DC7" w:rsidRPr="00B86DC7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B86DC7" w:rsidRPr="00B86DC7">
        <w:rPr>
          <w:rFonts w:ascii="Times New Roman" w:hAnsi="Times New Roman"/>
          <w:i/>
          <w:color w:val="000000" w:themeColor="text1"/>
          <w:sz w:val="28"/>
          <w:szCs w:val="28"/>
        </w:rPr>
        <w:t>Деуково</w:t>
      </w:r>
      <w:proofErr w:type="spellEnd"/>
      <w:r w:rsidRPr="00B86DC7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:rsidR="00B86DC7" w:rsidRPr="00B86DC7" w:rsidRDefault="00B86DC7" w:rsidP="00120B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20B4C" w:rsidRPr="00AC2F2E" w:rsidRDefault="00120B4C" w:rsidP="009B4685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Тематическая структура обращений, </w:t>
      </w:r>
    </w:p>
    <w:p w:rsidR="00120B4C" w:rsidRPr="00AC2F2E" w:rsidRDefault="00B86DC7" w:rsidP="009B4685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поступивших за 1 полугодие 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2020г</w:t>
      </w:r>
      <w:proofErr w:type="gramStart"/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(</w:t>
      </w:r>
      <w:proofErr w:type="gramEnd"/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в сравнении с 2019,2018 </w:t>
      </w:r>
      <w:proofErr w:type="spellStart"/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гг</w:t>
      </w:r>
      <w:proofErr w:type="spellEnd"/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)</w:t>
      </w:r>
    </w:p>
    <w:p w:rsidR="00B86DC7" w:rsidRPr="00AC2F2E" w:rsidRDefault="00B86DC7" w:rsidP="00120B4C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92"/>
        <w:gridCol w:w="1125"/>
        <w:gridCol w:w="1264"/>
        <w:gridCol w:w="1264"/>
        <w:gridCol w:w="1272"/>
      </w:tblGrid>
      <w:tr w:rsidR="00AC2F2E" w:rsidRPr="00B86DC7" w:rsidTr="00AC2F2E">
        <w:tc>
          <w:tcPr>
            <w:tcW w:w="2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B86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B86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1п.2020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B86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п.2019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C2F2E" w:rsidRDefault="00AC2F2E" w:rsidP="00B86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п.2018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C2F2E" w:rsidRDefault="00AC2F2E" w:rsidP="00B86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</w:p>
        </w:tc>
      </w:tr>
      <w:tr w:rsidR="00AC2F2E" w:rsidRPr="00B86DC7" w:rsidTr="00AC2F2E">
        <w:tc>
          <w:tcPr>
            <w:tcW w:w="2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7D6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6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C2F2E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↓</w:t>
            </w:r>
          </w:p>
        </w:tc>
      </w:tr>
      <w:tr w:rsidR="00AC2F2E" w:rsidRPr="00B86DC7" w:rsidTr="00AC2F2E">
        <w:tc>
          <w:tcPr>
            <w:tcW w:w="2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7D6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AC2F2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61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6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C2F2E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↓</w:t>
            </w:r>
          </w:p>
        </w:tc>
      </w:tr>
      <w:tr w:rsidR="00AC2F2E" w:rsidRPr="00B86DC7" w:rsidTr="00AC2F2E">
        <w:tc>
          <w:tcPr>
            <w:tcW w:w="2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7D6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C2F2E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2F2E" w:rsidRPr="00B86DC7" w:rsidTr="00AC2F2E">
        <w:tc>
          <w:tcPr>
            <w:tcW w:w="2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7D6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C2F2E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2F2E" w:rsidRPr="00B86DC7" w:rsidTr="00AC2F2E">
        <w:tc>
          <w:tcPr>
            <w:tcW w:w="2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5B8B7" w:themeFill="accent2" w:themeFillTint="66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7D6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5B8B7" w:themeFill="accent2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84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5B8B7" w:themeFill="accent2" w:themeFillTint="66"/>
            <w:tcMar>
              <w:top w:w="6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AC2F2E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↑</w:t>
            </w:r>
          </w:p>
        </w:tc>
      </w:tr>
      <w:tr w:rsidR="00AC2F2E" w:rsidRPr="00B86DC7" w:rsidTr="00AC2F2E">
        <w:tc>
          <w:tcPr>
            <w:tcW w:w="246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B86D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B86DC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  <w:r w:rsidRPr="00AC2F2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C2F2E" w:rsidRPr="00B86DC7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C2F2E" w:rsidRDefault="00AC2F2E" w:rsidP="00A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86DC7" w:rsidRPr="00F83DC6" w:rsidRDefault="00B86DC7" w:rsidP="00120B4C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9B5EB0" w:rsidRDefault="00AC2F2E" w:rsidP="00815D4C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ab/>
      </w:r>
    </w:p>
    <w:p w:rsidR="009B5EB0" w:rsidRPr="009B5EB0" w:rsidRDefault="009B5EB0" w:rsidP="009B5EB0">
      <w:pPr>
        <w:pStyle w:val="a5"/>
        <w:keepNext/>
        <w:jc w:val="center"/>
        <w:rPr>
          <w:rFonts w:ascii="Times New Roman" w:hAnsi="Times New Roman"/>
          <w:color w:val="000000" w:themeColor="text1"/>
          <w:sz w:val="28"/>
        </w:rPr>
      </w:pPr>
      <w:r w:rsidRPr="009B5EB0">
        <w:rPr>
          <w:rFonts w:ascii="Times New Roman" w:hAnsi="Times New Roman"/>
          <w:noProof/>
          <w:color w:val="000000" w:themeColor="text1"/>
          <w:sz w:val="28"/>
        </w:rPr>
        <w:t>Динамика пост</w:t>
      </w:r>
      <w:r w:rsidR="001F67D1">
        <w:rPr>
          <w:rFonts w:ascii="Times New Roman" w:hAnsi="Times New Roman"/>
          <w:noProof/>
          <w:color w:val="000000" w:themeColor="text1"/>
          <w:sz w:val="28"/>
        </w:rPr>
        <w:t>у</w:t>
      </w:r>
      <w:r w:rsidRPr="009B5EB0">
        <w:rPr>
          <w:rFonts w:ascii="Times New Roman" w:hAnsi="Times New Roman"/>
          <w:noProof/>
          <w:color w:val="000000" w:themeColor="text1"/>
          <w:sz w:val="28"/>
        </w:rPr>
        <w:t>пивших обращений</w:t>
      </w:r>
      <w:r w:rsidR="001F67D1">
        <w:rPr>
          <w:rFonts w:ascii="Times New Roman" w:hAnsi="Times New Roman"/>
          <w:noProof/>
          <w:color w:val="000000" w:themeColor="text1"/>
          <w:sz w:val="28"/>
        </w:rPr>
        <w:t>,</w:t>
      </w:r>
      <w:r w:rsidRPr="009B5EB0">
        <w:rPr>
          <w:rFonts w:ascii="Times New Roman" w:hAnsi="Times New Roman"/>
          <w:noProof/>
          <w:color w:val="000000" w:themeColor="text1"/>
          <w:sz w:val="28"/>
        </w:rPr>
        <w:t xml:space="preserve"> за последние  3 года</w:t>
      </w:r>
    </w:p>
    <w:p w:rsidR="009B5EB0" w:rsidRDefault="001F67D1" w:rsidP="00815D4C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FF0000"/>
          <w:kern w:val="36"/>
          <w:sz w:val="28"/>
          <w:szCs w:val="28"/>
          <w:lang w:eastAsia="ru-RU"/>
        </w:rPr>
        <w:drawing>
          <wp:inline distT="0" distB="0" distL="0" distR="0">
            <wp:extent cx="6055743" cy="3200400"/>
            <wp:effectExtent l="0" t="0" r="2159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B5EB0" w:rsidRDefault="009B5EB0" w:rsidP="00815D4C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3C2ADA" w:rsidRDefault="001F67D1" w:rsidP="001F67D1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ab/>
      </w:r>
      <w:r w:rsidR="00AC2F2E" w:rsidRPr="00AC2F2E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>Динамика тематической структуры показывает о значительном снижении обращений  по жилищно-коммунальной сфере, и росту обращений  в экономическом блоке.</w:t>
      </w:r>
      <w:r w:rsidR="00AC2F2E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  Необходимо отметить рост дают </w:t>
      </w:r>
      <w:r w:rsidR="0081187F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>обращения,</w:t>
      </w:r>
      <w:r w:rsidR="00974BE7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AC2F2E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поступающие от одного заявителя </w:t>
      </w:r>
      <w:r w:rsidR="0081187F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многократно</w:t>
      </w:r>
      <w:r w:rsidR="0001344B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>:</w:t>
      </w:r>
    </w:p>
    <w:p w:rsidR="003C2ADA" w:rsidRDefault="0081187F" w:rsidP="00815D4C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ab/>
      </w:r>
      <w:r w:rsidR="00AC2F2E" w:rsidRPr="003C2ADA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Например: обращения с жалобой на деятельность </w:t>
      </w:r>
      <w:proofErr w:type="spellStart"/>
      <w:r w:rsidR="003C2ADA" w:rsidRPr="003C2ADA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Цекало</w:t>
      </w:r>
      <w:proofErr w:type="spellEnd"/>
      <w:r w:rsidR="003C2ADA" w:rsidRPr="003C2ADA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 Д.В. (</w:t>
      </w:r>
      <w:proofErr w:type="spellStart"/>
      <w:r w:rsidR="00815D4C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д.</w:t>
      </w:r>
      <w:r w:rsidR="003C2ADA" w:rsidRPr="003C2ADA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В.Такермень</w:t>
      </w:r>
      <w:proofErr w:type="spellEnd"/>
      <w:r w:rsidR="003C2ADA" w:rsidRPr="003C2ADA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)</w:t>
      </w:r>
      <w:r w:rsidR="003C2ADA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. Заявителем было направлено   </w:t>
      </w:r>
      <w:r w:rsidRPr="0081187F"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>5 (!)</w:t>
      </w:r>
      <w:r w:rsidR="003C2ADA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 обращений в различные инстанции, которые по подведомственности возвращались  для рассмотрения  обратно в район</w:t>
      </w:r>
      <w:r w:rsidR="00815D4C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.</w:t>
      </w:r>
    </w:p>
    <w:p w:rsidR="00815D4C" w:rsidRDefault="0081187F" w:rsidP="00815D4C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ab/>
        <w:t xml:space="preserve">Обращения Морозова по вопросу переноса контейнерной площадки  в </w:t>
      </w:r>
    </w:p>
    <w:p w:rsidR="00B86DC7" w:rsidRDefault="0081187F" w:rsidP="00815D4C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д. Новое </w:t>
      </w:r>
      <w:proofErr w:type="spellStart"/>
      <w:r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Мазино</w:t>
      </w:r>
      <w:proofErr w:type="spellEnd"/>
      <w:r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 поступило </w:t>
      </w:r>
      <w:r w:rsidRPr="0081187F"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>6 раз(!)</w:t>
      </w:r>
    </w:p>
    <w:p w:rsidR="0001344B" w:rsidRPr="0001344B" w:rsidRDefault="0001344B" w:rsidP="00815D4C">
      <w:pPr>
        <w:tabs>
          <w:tab w:val="left" w:pos="709"/>
        </w:tabs>
        <w:spacing w:after="0"/>
        <w:outlineLvl w:val="0"/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ab/>
      </w:r>
      <w:r w:rsidRPr="0001344B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Обращения </w:t>
      </w:r>
      <w:proofErr w:type="spellStart"/>
      <w:r w:rsidRPr="0001344B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>Яруллина</w:t>
      </w:r>
      <w:proofErr w:type="spellEnd"/>
      <w:r w:rsidRPr="0001344B">
        <w:rPr>
          <w:rFonts w:ascii="Times New Roman" w:eastAsia="Times New Roman" w:hAnsi="Times New Roman"/>
          <w:bCs/>
          <w:i/>
          <w:color w:val="000000" w:themeColor="text1"/>
          <w:kern w:val="36"/>
          <w:sz w:val="28"/>
          <w:szCs w:val="28"/>
          <w:lang w:eastAsia="ru-RU"/>
        </w:rPr>
        <w:t xml:space="preserve"> А.И. по вопросу улучшения жилищных условий </w:t>
      </w:r>
      <w:r w:rsidRPr="00815D4C"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>5 раз</w:t>
      </w:r>
      <w:r w:rsidR="00974BE7"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>.</w:t>
      </w:r>
    </w:p>
    <w:p w:rsidR="00815D4C" w:rsidRDefault="00815D4C" w:rsidP="00815D4C">
      <w:pPr>
        <w:spacing w:after="0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0B4C" w:rsidRPr="0001344B" w:rsidRDefault="00120B4C" w:rsidP="00815D4C">
      <w:pPr>
        <w:spacing w:after="0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Тематическая структура обращений граждан показывает о преобладающем количестве вопросов по разделу экономика. В данном блоке  значительную часть занимают  тематика градостроительство и архитектура, </w:t>
      </w:r>
      <w:r w:rsidR="00B56114">
        <w:rPr>
          <w:rFonts w:ascii="Times New Roman" w:hAnsi="Times New Roman"/>
          <w:color w:val="000000" w:themeColor="text1"/>
          <w:sz w:val="28"/>
          <w:szCs w:val="28"/>
        </w:rPr>
        <w:t>торговл</w:t>
      </w:r>
      <w:r w:rsidR="00974BE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561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далее идут вопросы дорожного хозяйс</w:t>
      </w:r>
      <w:r w:rsidR="009326F8" w:rsidRPr="0001344B">
        <w:rPr>
          <w:rFonts w:ascii="Times New Roman" w:hAnsi="Times New Roman"/>
          <w:color w:val="000000" w:themeColor="text1"/>
          <w:sz w:val="28"/>
          <w:szCs w:val="28"/>
        </w:rPr>
        <w:t>тва, благоустройство территории, сельского хозяйства</w:t>
      </w:r>
    </w:p>
    <w:p w:rsidR="00E2037C" w:rsidRDefault="00E2037C" w:rsidP="00E2037C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Переченьзатронутых вопросов, так или </w:t>
      </w:r>
      <w:proofErr w:type="gramStart"/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>иначе</w:t>
      </w:r>
      <w:proofErr w:type="gramEnd"/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связан с проблемами граждан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(индивидуальных предпринимателей)</w:t>
      </w:r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974BE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возникшими в период распространения новой </w:t>
      </w:r>
      <w:proofErr w:type="spellStart"/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>короновирусной</w:t>
      </w:r>
      <w:proofErr w:type="spellEnd"/>
      <w:r w:rsidRP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инфекцииСOVID-19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:rsidR="009326F8" w:rsidRPr="00B56114" w:rsidRDefault="00B56114" w:rsidP="00E2037C">
      <w:pPr>
        <w:spacing w:after="0"/>
        <w:ind w:firstLine="424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B56114">
        <w:rPr>
          <w:rFonts w:ascii="Times New Roman" w:hAnsi="Times New Roman"/>
          <w:i/>
          <w:color w:val="000000" w:themeColor="text1"/>
          <w:sz w:val="28"/>
          <w:szCs w:val="28"/>
        </w:rPr>
        <w:t>Н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еоднократно поступали обращения по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вопрос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ам</w:t>
      </w:r>
      <w:r w:rsid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соблюдения градостроительных норм,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выдела паевых земель, 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>строительства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дорог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д. Коноваловка,  </w:t>
      </w:r>
      <w:proofErr w:type="spellStart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Каран-Азиково</w:t>
      </w:r>
      <w:proofErr w:type="spellEnd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проблем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</w:t>
      </w:r>
      <w:proofErr w:type="gramStart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водоснабжении</w:t>
      </w:r>
      <w:proofErr w:type="gramEnd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д. </w:t>
      </w:r>
      <w:proofErr w:type="spellStart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Бикбулово</w:t>
      </w:r>
      <w:proofErr w:type="spellEnd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:rsidR="00B56114" w:rsidRDefault="00B56114" w:rsidP="00815D4C">
      <w:pPr>
        <w:spacing w:after="0"/>
        <w:ind w:firstLine="424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56114" w:rsidRPr="00B56114" w:rsidRDefault="00B56114" w:rsidP="007D69A6">
      <w:pPr>
        <w:spacing w:after="0"/>
        <w:ind w:right="74" w:firstLine="425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проблемах в жилищно-коммунальной сфере сообщили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61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</w:t>
      </w:r>
      <w:r w:rsid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6114" w:rsidRPr="00B56114" w:rsidRDefault="00B56114" w:rsidP="007D69A6">
      <w:pPr>
        <w:spacing w:after="0"/>
        <w:ind w:firstLine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6114">
        <w:rPr>
          <w:rFonts w:ascii="Times New Roman" w:hAnsi="Times New Roman"/>
          <w:color w:val="000000" w:themeColor="text1"/>
          <w:sz w:val="28"/>
          <w:szCs w:val="28"/>
        </w:rPr>
        <w:t xml:space="preserve">Большую часть в обозначенной теме занимают 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вопросы, связанные с коммунальным хозяйством, вопросы надлежащего качества содержания общего имущества, а также обращения по вопросу обеспечения граждан жилищем, пользование жилищным фондом, социальные гарантии в жилищной сфере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принимаемым решениям  жилищной комиссии г. Мензелинск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6114" w:rsidRPr="00815D4C" w:rsidRDefault="00B63351" w:rsidP="007D69A6">
      <w:pPr>
        <w:spacing w:after="0"/>
        <w:ind w:firstLine="425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815D4C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Необходимо отметить вопрос жител</w:t>
      </w:r>
      <w:r w:rsidR="0036085E" w:rsidRPr="00815D4C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ей </w:t>
      </w:r>
      <w:r w:rsidRPr="00815D4C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д.1/14 по ул. Изыскателей по вопросу оформления квартир в собственность на сегодняшний день остается </w:t>
      </w:r>
      <w:r w:rsidR="0036085E" w:rsidRPr="00815D4C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незавершенным.</w:t>
      </w:r>
      <w:r w:rsidR="00815D4C" w:rsidRPr="00815D4C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Жители повторно обращаются на прием граждан.</w:t>
      </w:r>
    </w:p>
    <w:p w:rsidR="00B63351" w:rsidRPr="00815D4C" w:rsidRDefault="00815D4C" w:rsidP="007D69A6">
      <w:pPr>
        <w:spacing w:after="0"/>
        <w:ind w:firstLine="425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815D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 тоже время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,</w:t>
      </w:r>
      <w:r w:rsidR="00974BE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815D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во 2 квартале положительно завершено рассмотрение обращения  главного архитектора </w:t>
      </w:r>
      <w:proofErr w:type="spellStart"/>
      <w:r w:rsidRPr="00815D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Хайбуллина</w:t>
      </w:r>
      <w:proofErr w:type="spellEnd"/>
      <w:r w:rsidRPr="00815D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И.Х.</w:t>
      </w:r>
      <w:r w:rsidR="00974BE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,</w:t>
      </w:r>
      <w:r w:rsidRPr="00815D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поступившее в 2019 году по вопросу содействия в ремонте дома. Исполнительным комитетом оказано содействие  в</w:t>
      </w:r>
      <w:r w:rsidR="00974BE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15D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ремонте</w:t>
      </w:r>
      <w:proofErr w:type="gramEnd"/>
      <w:r w:rsidRPr="00815D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дома.</w:t>
      </w:r>
    </w:p>
    <w:p w:rsidR="00815D4C" w:rsidRDefault="00815D4C" w:rsidP="007D69A6">
      <w:pPr>
        <w:spacing w:after="0"/>
        <w:ind w:firstLine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20B4C" w:rsidRPr="00B63351" w:rsidRDefault="00120B4C" w:rsidP="00120B4C">
      <w:pPr>
        <w:spacing w:after="0"/>
        <w:ind w:left="284"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Большую часть обращений социальной сферы, составляют вопросы раздела  образования (целевое направление) и вопросы оплаты за дошкольное учреждение в период самоизоляции.</w:t>
      </w:r>
    </w:p>
    <w:p w:rsidR="00E2037C" w:rsidRDefault="00E2037C" w:rsidP="00120B4C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20B4C" w:rsidRPr="00B63351" w:rsidRDefault="00120B4C" w:rsidP="00120B4C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1 </w:t>
      </w:r>
      <w:r w:rsidR="00B63351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полугодие</w:t>
      </w: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2020 года наблюдается рост обращений в сфере государство, общество, политика – тематика: деятельность органов исполнительной власти субъекта Российской Федерации,</w:t>
      </w:r>
      <w:r w:rsidR="004743B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принимаемые решения. (</w:t>
      </w: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Большинство обращений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08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поступили из </w:t>
      </w: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В. </w:t>
      </w:r>
      <w:proofErr w:type="spellStart"/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Такермен</w:t>
      </w:r>
      <w:proofErr w:type="spellEnd"/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Коноваловка, Новое </w:t>
      </w:r>
      <w:proofErr w:type="spellStart"/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Мазино</w:t>
      </w:r>
      <w:proofErr w:type="spellEnd"/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120B4C" w:rsidRDefault="00120B4C" w:rsidP="00E2037C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3,8%  обращений составляют обращения на тему обеспечения законности и 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охраны правопорядка обращений, п</w:t>
      </w:r>
      <w:r w:rsidR="00E2037C" w:rsidRP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риоритетными из которых являются вопросы осуществления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037C" w:rsidRP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санитарно-карантинного контроля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74BE7" w:rsidRPr="008F3604" w:rsidRDefault="00974BE7" w:rsidP="00974BE7">
      <w:pPr>
        <w:shd w:val="clear" w:color="auto" w:fill="FFFFFF"/>
        <w:spacing w:after="0"/>
        <w:ind w:left="-142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8F3604">
        <w:rPr>
          <w:rFonts w:ascii="Times New Roman" w:hAnsi="Times New Roman"/>
          <w:sz w:val="28"/>
          <w:szCs w:val="32"/>
          <w:lang w:eastAsia="ru-RU"/>
        </w:rPr>
        <w:t>ГИС «Народный контроль»</w:t>
      </w:r>
    </w:p>
    <w:p w:rsidR="00974BE7" w:rsidRPr="008F3604" w:rsidRDefault="00974BE7" w:rsidP="00974BE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32"/>
          <w:lang w:eastAsia="ru-RU"/>
        </w:rPr>
      </w:pPr>
    </w:p>
    <w:p w:rsidR="00974BE7" w:rsidRPr="00120B4C" w:rsidRDefault="00974BE7" w:rsidP="00974BE7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32"/>
          <w:lang w:eastAsia="ru-RU"/>
        </w:rPr>
      </w:pPr>
      <w:r w:rsidRPr="008F3604">
        <w:rPr>
          <w:rFonts w:ascii="Times New Roman" w:hAnsi="Times New Roman"/>
          <w:sz w:val="28"/>
          <w:szCs w:val="32"/>
          <w:lang w:eastAsia="ru-RU"/>
        </w:rPr>
        <w:t xml:space="preserve">Одним из приоритетных направлений в деятельности органов муниципальной власти также является работа в государственной информационной системе «Народный контроль», которая </w:t>
      </w:r>
      <w:proofErr w:type="spellStart"/>
      <w:r w:rsidRPr="008F3604">
        <w:rPr>
          <w:rFonts w:ascii="Times New Roman" w:hAnsi="Times New Roman"/>
          <w:sz w:val="28"/>
          <w:szCs w:val="32"/>
          <w:lang w:eastAsia="ru-RU"/>
        </w:rPr>
        <w:t>дДоказала</w:t>
      </w:r>
      <w:proofErr w:type="spellEnd"/>
      <w:r w:rsidRPr="008F3604">
        <w:rPr>
          <w:rFonts w:ascii="Times New Roman" w:hAnsi="Times New Roman"/>
          <w:sz w:val="28"/>
          <w:szCs w:val="32"/>
          <w:lang w:eastAsia="ru-RU"/>
        </w:rPr>
        <w:t xml:space="preserve"> свою эффективность, позволяя гражданам в режиме реального времени отслеживать исполнение своих заявок. За 1 полугодие 2020 год поступило </w:t>
      </w:r>
      <w:r w:rsidR="008F3604" w:rsidRPr="008F3604">
        <w:rPr>
          <w:rFonts w:ascii="Times New Roman" w:hAnsi="Times New Roman"/>
          <w:sz w:val="28"/>
          <w:szCs w:val="32"/>
          <w:lang w:eastAsia="ru-RU"/>
        </w:rPr>
        <w:t>71</w:t>
      </w:r>
      <w:r w:rsidRPr="008F3604">
        <w:rPr>
          <w:rFonts w:ascii="Times New Roman" w:hAnsi="Times New Roman"/>
          <w:sz w:val="28"/>
          <w:szCs w:val="32"/>
          <w:lang w:eastAsia="ru-RU"/>
        </w:rPr>
        <w:t xml:space="preserve"> (2019-</w:t>
      </w:r>
      <w:r w:rsidR="008F3604" w:rsidRPr="008F3604">
        <w:rPr>
          <w:rFonts w:ascii="Times New Roman" w:hAnsi="Times New Roman"/>
          <w:sz w:val="28"/>
          <w:szCs w:val="32"/>
          <w:lang w:eastAsia="ru-RU"/>
        </w:rPr>
        <w:t>95</w:t>
      </w:r>
      <w:r w:rsidRPr="008F3604">
        <w:rPr>
          <w:rFonts w:ascii="Times New Roman" w:hAnsi="Times New Roman"/>
          <w:sz w:val="28"/>
          <w:szCs w:val="32"/>
          <w:lang w:eastAsia="ru-RU"/>
        </w:rPr>
        <w:t xml:space="preserve">) заявок по категориям: </w:t>
      </w:r>
      <w:r w:rsidR="008F3604" w:rsidRPr="00973F14">
        <w:rPr>
          <w:rFonts w:ascii="Times New Roman" w:hAnsi="Times New Roman"/>
          <w:sz w:val="28"/>
          <w:szCs w:val="32"/>
          <w:lang w:eastAsia="ru-RU"/>
        </w:rPr>
        <w:t>благоустройство территории, содержание и ремонт муниципальных дорог</w:t>
      </w:r>
      <w:r w:rsidR="008F3604">
        <w:rPr>
          <w:rFonts w:ascii="Times New Roman" w:hAnsi="Times New Roman"/>
          <w:sz w:val="28"/>
          <w:szCs w:val="32"/>
          <w:lang w:eastAsia="ru-RU"/>
        </w:rPr>
        <w:t xml:space="preserve">, </w:t>
      </w:r>
      <w:r w:rsidR="008F3604" w:rsidRPr="006E584B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="008F3604" w:rsidRPr="006D6052">
        <w:rPr>
          <w:rFonts w:ascii="Times New Roman" w:hAnsi="Times New Roman"/>
          <w:sz w:val="28"/>
          <w:szCs w:val="32"/>
          <w:lang w:eastAsia="ru-RU"/>
        </w:rPr>
        <w:t>Организация дорожного движения</w:t>
      </w:r>
      <w:r w:rsidR="008F3604">
        <w:rPr>
          <w:rFonts w:ascii="Times New Roman" w:hAnsi="Times New Roman"/>
          <w:sz w:val="28"/>
          <w:szCs w:val="32"/>
          <w:lang w:eastAsia="ru-RU"/>
        </w:rPr>
        <w:t xml:space="preserve">, </w:t>
      </w:r>
      <w:r w:rsidR="008F3604" w:rsidRPr="006D6052">
        <w:rPr>
          <w:rFonts w:ascii="Times New Roman" w:hAnsi="Times New Roman"/>
          <w:sz w:val="28"/>
          <w:szCs w:val="32"/>
          <w:lang w:eastAsia="ru-RU"/>
        </w:rPr>
        <w:t xml:space="preserve">Сельское хозяйство, COVID-2019: предотвращение распространения </w:t>
      </w:r>
      <w:proofErr w:type="spellStart"/>
      <w:r w:rsidR="008F3604" w:rsidRPr="006D6052">
        <w:rPr>
          <w:rFonts w:ascii="Times New Roman" w:hAnsi="Times New Roman"/>
          <w:sz w:val="28"/>
          <w:szCs w:val="32"/>
          <w:lang w:eastAsia="ru-RU"/>
        </w:rPr>
        <w:t>коронавирусной</w:t>
      </w:r>
      <w:proofErr w:type="spellEnd"/>
      <w:r w:rsidR="008F3604" w:rsidRPr="006D6052">
        <w:rPr>
          <w:rFonts w:ascii="Times New Roman" w:hAnsi="Times New Roman"/>
          <w:sz w:val="28"/>
          <w:szCs w:val="32"/>
          <w:lang w:eastAsia="ru-RU"/>
        </w:rPr>
        <w:t xml:space="preserve"> инфекции</w:t>
      </w:r>
      <w:r w:rsidR="008F3604">
        <w:rPr>
          <w:rFonts w:ascii="Times New Roman" w:hAnsi="Times New Roman"/>
          <w:sz w:val="28"/>
          <w:szCs w:val="32"/>
          <w:lang w:eastAsia="ru-RU"/>
        </w:rPr>
        <w:t xml:space="preserve">, </w:t>
      </w:r>
      <w:r w:rsidR="008F3604" w:rsidRPr="006D6052">
        <w:rPr>
          <w:rFonts w:ascii="Times New Roman" w:hAnsi="Times New Roman"/>
          <w:sz w:val="28"/>
          <w:szCs w:val="32"/>
          <w:lang w:eastAsia="ru-RU"/>
        </w:rPr>
        <w:t>Ветеран живет рядом</w:t>
      </w:r>
      <w:r w:rsidRPr="00120B4C">
        <w:rPr>
          <w:rFonts w:ascii="Times New Roman" w:hAnsi="Times New Roman"/>
          <w:color w:val="FF0000"/>
          <w:sz w:val="28"/>
          <w:szCs w:val="32"/>
          <w:lang w:eastAsia="ru-RU"/>
        </w:rPr>
        <w:t xml:space="preserve">. 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1843"/>
        <w:gridCol w:w="1777"/>
        <w:gridCol w:w="1986"/>
        <w:gridCol w:w="1057"/>
      </w:tblGrid>
      <w:tr w:rsidR="00974BE7" w:rsidRPr="00120B4C" w:rsidTr="00D55884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3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3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Опубликовано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3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Запланировано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3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Мотивированный отказ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3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Решено</w:t>
            </w:r>
          </w:p>
        </w:tc>
      </w:tr>
      <w:tr w:rsidR="00974BE7" w:rsidRPr="00120B4C" w:rsidTr="00D55884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Благоустройство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36</w:t>
            </w:r>
            <w:r w:rsidR="00D55884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</w:t>
            </w:r>
            <w:r w:rsidR="00D55884" w:rsidRPr="00D55884">
              <w:rPr>
                <w:rFonts w:ascii="Times New Roman" w:hAnsi="Times New Roman"/>
                <w:sz w:val="24"/>
                <w:szCs w:val="24"/>
                <w:lang w:eastAsia="ru-RU"/>
              </w:rPr>
              <w:t>(АППГ-31)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32</w:t>
            </w:r>
            <w:r w:rsidR="00D55884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(23)</w:t>
            </w:r>
          </w:p>
        </w:tc>
      </w:tr>
      <w:tr w:rsidR="00974BE7" w:rsidRPr="00120B4C" w:rsidTr="00D55884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Содержание и ремонт муниципальных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26</w:t>
            </w:r>
            <w:r w:rsidR="00D55884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</w:t>
            </w:r>
            <w:r w:rsidR="00D55884" w:rsidRPr="00D55884">
              <w:rPr>
                <w:rFonts w:ascii="Times New Roman" w:hAnsi="Times New Roman"/>
                <w:sz w:val="24"/>
                <w:szCs w:val="24"/>
                <w:lang w:eastAsia="ru-RU"/>
              </w:rPr>
              <w:t>(АППГ-52)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18</w:t>
            </w:r>
            <w:r w:rsidR="00D55884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(42)</w:t>
            </w:r>
          </w:p>
        </w:tc>
      </w:tr>
      <w:tr w:rsidR="008F3604" w:rsidRPr="00120B4C" w:rsidTr="00D55884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6D6052">
              <w:rPr>
                <w:rFonts w:ascii="Times New Roman" w:hAnsi="Times New Roman"/>
                <w:sz w:val="28"/>
                <w:szCs w:val="32"/>
                <w:lang w:eastAsia="ru-RU"/>
              </w:rPr>
              <w:t>Организация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4</w:t>
            </w:r>
          </w:p>
        </w:tc>
      </w:tr>
      <w:tr w:rsidR="008F3604" w:rsidRPr="00120B4C" w:rsidTr="00D55884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F3604" w:rsidRPr="006D6052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6D6052">
              <w:rPr>
                <w:rFonts w:ascii="Times New Roman" w:hAnsi="Times New Roman"/>
                <w:sz w:val="28"/>
                <w:szCs w:val="32"/>
                <w:lang w:eastAsia="ru-RU"/>
              </w:rPr>
              <w:t>Сельское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</w:t>
            </w:r>
          </w:p>
        </w:tc>
      </w:tr>
      <w:tr w:rsidR="008F3604" w:rsidRPr="00120B4C" w:rsidTr="00D55884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F3604" w:rsidRPr="006D6052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6D6052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COVID-2019: предотвращение распространения </w:t>
            </w:r>
            <w:proofErr w:type="spellStart"/>
            <w:r w:rsidRPr="006D6052">
              <w:rPr>
                <w:rFonts w:ascii="Times New Roman" w:hAnsi="Times New Roman"/>
                <w:sz w:val="28"/>
                <w:szCs w:val="32"/>
                <w:lang w:eastAsia="ru-RU"/>
              </w:rPr>
              <w:t>коронавирусной</w:t>
            </w:r>
            <w:proofErr w:type="spellEnd"/>
            <w:r w:rsidRPr="006D6052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инфекции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</w:t>
            </w:r>
          </w:p>
        </w:tc>
      </w:tr>
      <w:tr w:rsidR="008F3604" w:rsidRPr="00120B4C" w:rsidTr="00D55884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F3604" w:rsidRPr="006D6052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6D6052">
              <w:rPr>
                <w:rFonts w:ascii="Times New Roman" w:hAnsi="Times New Roman"/>
                <w:sz w:val="28"/>
                <w:szCs w:val="32"/>
                <w:lang w:eastAsia="ru-RU"/>
              </w:rPr>
              <w:t>Ветеран живет рядом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F3604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1</w:t>
            </w:r>
          </w:p>
        </w:tc>
      </w:tr>
      <w:tr w:rsidR="00974BE7" w:rsidRPr="00120B4C" w:rsidTr="00D55884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F3604">
              <w:rPr>
                <w:rFonts w:ascii="Times New Roman" w:hAnsi="Times New Roman"/>
                <w:sz w:val="28"/>
                <w:szCs w:val="32"/>
                <w:lang w:eastAsia="ru-RU"/>
              </w:rPr>
              <w:t>71</w:t>
            </w:r>
            <w:r w:rsidR="00D55884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</w:t>
            </w:r>
            <w:r w:rsidR="00D55884" w:rsidRPr="00D55884">
              <w:rPr>
                <w:rFonts w:ascii="Times New Roman" w:hAnsi="Times New Roman"/>
                <w:sz w:val="24"/>
                <w:szCs w:val="24"/>
                <w:lang w:eastAsia="ru-RU"/>
              </w:rPr>
              <w:t>(АППГ-95)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8"/>
                <w:szCs w:val="32"/>
                <w:lang w:eastAsia="ru-RU"/>
              </w:rPr>
              <w:t>11</w:t>
            </w:r>
            <w:r w:rsidR="00D55884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</w:t>
            </w:r>
            <w:r w:rsidR="00D55884" w:rsidRPr="00D55884">
              <w:rPr>
                <w:rFonts w:ascii="Times New Roman" w:hAnsi="Times New Roman"/>
                <w:sz w:val="24"/>
                <w:szCs w:val="24"/>
                <w:lang w:eastAsia="ru-RU"/>
              </w:rPr>
              <w:t>(АППГ-14)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8"/>
                <w:szCs w:val="32"/>
                <w:lang w:eastAsia="ru-RU"/>
              </w:rPr>
              <w:t>3</w:t>
            </w:r>
            <w:r w:rsidR="00D55884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(4)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BE7" w:rsidRPr="008F3604" w:rsidRDefault="008F3604" w:rsidP="00B7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8"/>
                <w:szCs w:val="32"/>
                <w:lang w:eastAsia="ru-RU"/>
              </w:rPr>
              <w:t>56</w:t>
            </w:r>
            <w:r w:rsidR="00D55884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(72)</w:t>
            </w:r>
          </w:p>
        </w:tc>
      </w:tr>
      <w:tr w:rsidR="00974BE7" w:rsidRPr="00120B4C" w:rsidTr="00D55884">
        <w:trPr>
          <w:trHeight w:val="838"/>
        </w:trPr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974BE7" w:rsidRPr="00120B4C" w:rsidRDefault="00974BE7" w:rsidP="00B74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0"/>
                <w:lang w:eastAsia="ru-RU"/>
              </w:rPr>
            </w:pPr>
          </w:p>
          <w:p w:rsidR="00974BE7" w:rsidRPr="008F3604" w:rsidRDefault="00974BE7" w:rsidP="00B74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  <w:r w:rsidRPr="008F3604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  <w:t>Категория заявок</w:t>
            </w:r>
          </w:p>
          <w:p w:rsidR="00974BE7" w:rsidRPr="00120B4C" w:rsidRDefault="00974BE7" w:rsidP="00B74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0"/>
                <w:lang w:eastAsia="ru-RU"/>
              </w:rPr>
            </w:pPr>
          </w:p>
        </w:tc>
      </w:tr>
      <w:tr w:rsidR="00974BE7" w:rsidRPr="00120B4C" w:rsidTr="00D55884">
        <w:trPr>
          <w:trHeight w:val="108"/>
        </w:trPr>
        <w:tc>
          <w:tcPr>
            <w:tcW w:w="3686" w:type="dxa"/>
            <w:noWrap/>
            <w:vAlign w:val="center"/>
            <w:hideMark/>
          </w:tcPr>
          <w:p w:rsidR="00974BE7" w:rsidRPr="00120B4C" w:rsidRDefault="00974BE7" w:rsidP="00B74046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974BE7" w:rsidRPr="00120B4C" w:rsidRDefault="00974BE7" w:rsidP="00B74046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:rsidR="00974BE7" w:rsidRPr="00120B4C" w:rsidRDefault="00974BE7" w:rsidP="00B74046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noWrap/>
            <w:vAlign w:val="center"/>
            <w:hideMark/>
          </w:tcPr>
          <w:p w:rsidR="00974BE7" w:rsidRPr="00120B4C" w:rsidRDefault="00974BE7" w:rsidP="00B74046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noWrap/>
            <w:vAlign w:val="center"/>
            <w:hideMark/>
          </w:tcPr>
          <w:p w:rsidR="00974BE7" w:rsidRPr="00120B4C" w:rsidRDefault="00974BE7" w:rsidP="00B74046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974BE7" w:rsidRPr="00120B4C" w:rsidRDefault="00974BE7" w:rsidP="00974BE7">
      <w:pPr>
        <w:jc w:val="both"/>
        <w:rPr>
          <w:rFonts w:ascii="Times New Roman" w:eastAsia="Times New Roman" w:hAnsi="Times New Roman"/>
          <w:noProof/>
          <w:color w:val="FF0000"/>
          <w:sz w:val="32"/>
          <w:szCs w:val="32"/>
          <w:lang w:eastAsia="ru-RU"/>
        </w:rPr>
      </w:pPr>
      <w:r w:rsidRPr="00120B4C">
        <w:rPr>
          <w:noProof/>
          <w:color w:val="FF0000"/>
          <w:lang w:eastAsia="ru-RU"/>
        </w:rPr>
        <w:drawing>
          <wp:inline distT="0" distB="0" distL="0" distR="0">
            <wp:extent cx="5029200" cy="3243532"/>
            <wp:effectExtent l="19050" t="0" r="19050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4BE7" w:rsidRPr="00120B4C" w:rsidRDefault="00974BE7" w:rsidP="00974BE7">
      <w:pPr>
        <w:ind w:firstLine="708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20B4C">
        <w:rPr>
          <w:noProof/>
          <w:color w:val="FF0000"/>
          <w:lang w:eastAsia="ru-RU"/>
        </w:rPr>
        <w:drawing>
          <wp:inline distT="0" distB="0" distL="0" distR="0">
            <wp:extent cx="5296535" cy="3260725"/>
            <wp:effectExtent l="0" t="0" r="0" b="0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5884" w:rsidRPr="00D55884" w:rsidRDefault="00D55884" w:rsidP="00D55884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884">
        <w:rPr>
          <w:rFonts w:ascii="Times New Roman" w:hAnsi="Times New Roman"/>
          <w:sz w:val="28"/>
          <w:szCs w:val="32"/>
          <w:lang w:eastAsia="ru-RU"/>
        </w:rPr>
        <w:t>Благодаря этому проекту, каждый житель Мензелинского района может оставить заявку и решить проблему</w:t>
      </w:r>
      <w:r w:rsidRPr="00D55884">
        <w:rPr>
          <w:sz w:val="28"/>
          <w:szCs w:val="32"/>
          <w:lang w:eastAsia="ru-RU"/>
        </w:rPr>
        <w:t xml:space="preserve">. </w:t>
      </w:r>
      <w:proofErr w:type="gramStart"/>
      <w:r w:rsidRPr="00D55884">
        <w:rPr>
          <w:rFonts w:ascii="Times New Roman" w:hAnsi="Times New Roman"/>
          <w:sz w:val="28"/>
          <w:szCs w:val="32"/>
          <w:lang w:eastAsia="ru-RU"/>
        </w:rPr>
        <w:t>Фиксируя наиболее значимые общественные проблемы между гражданами и нами выстраивается обратная связь</w:t>
      </w:r>
      <w:proofErr w:type="gramEnd"/>
      <w:r w:rsidRPr="00D55884">
        <w:rPr>
          <w:rFonts w:ascii="Times New Roman" w:hAnsi="Times New Roman"/>
          <w:sz w:val="28"/>
          <w:szCs w:val="32"/>
          <w:lang w:eastAsia="ru-RU"/>
        </w:rPr>
        <w:t>. Большая часть просьб и обращений граждан касается благоустройства территории, ст</w:t>
      </w:r>
      <w:r>
        <w:rPr>
          <w:rFonts w:ascii="Times New Roman" w:hAnsi="Times New Roman"/>
          <w:sz w:val="28"/>
          <w:szCs w:val="32"/>
          <w:lang w:eastAsia="ru-RU"/>
        </w:rPr>
        <w:t>роительства и содержания дорог.</w:t>
      </w:r>
    </w:p>
    <w:p w:rsidR="00E2037C" w:rsidRDefault="00E2037C" w:rsidP="00120B4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20B4C" w:rsidRDefault="00120B4C" w:rsidP="00120B4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6335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Анализ исполнительской дисциплины</w:t>
      </w:r>
    </w:p>
    <w:p w:rsidR="00B63351" w:rsidRPr="00B63351" w:rsidRDefault="00B63351" w:rsidP="00120B4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20B4C" w:rsidRPr="00B63351" w:rsidRDefault="00120B4C" w:rsidP="00120B4C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За 1 </w:t>
      </w:r>
      <w:r w:rsidR="0036085E">
        <w:rPr>
          <w:rFonts w:ascii="Times New Roman" w:hAnsi="Times New Roman"/>
          <w:color w:val="000000" w:themeColor="text1"/>
          <w:sz w:val="28"/>
          <w:szCs w:val="28"/>
        </w:rPr>
        <w:t xml:space="preserve">полугодие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2020 года по обращениям на контроле находилось </w:t>
      </w:r>
      <w:r w:rsidR="0036085E">
        <w:rPr>
          <w:rFonts w:ascii="Times New Roman" w:hAnsi="Times New Roman"/>
          <w:color w:val="000000" w:themeColor="text1"/>
          <w:sz w:val="28"/>
          <w:szCs w:val="28"/>
        </w:rPr>
        <w:t xml:space="preserve">181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поручений. Из них:выполнено в срок – </w:t>
      </w:r>
      <w:r w:rsidR="0036085E">
        <w:rPr>
          <w:rFonts w:ascii="Times New Roman" w:hAnsi="Times New Roman"/>
          <w:color w:val="000000" w:themeColor="text1"/>
          <w:sz w:val="28"/>
          <w:szCs w:val="28"/>
        </w:rPr>
        <w:t xml:space="preserve">171 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>(9</w:t>
      </w:r>
      <w:r w:rsidR="007D69A6" w:rsidRPr="007D69A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D69A6" w:rsidRPr="007D69A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D69A6">
        <w:rPr>
          <w:rFonts w:ascii="Times New Roman" w:hAnsi="Times New Roman"/>
          <w:color w:val="000000" w:themeColor="text1"/>
          <w:sz w:val="28"/>
          <w:szCs w:val="28"/>
        </w:rPr>
        <w:t xml:space="preserve"> %), 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с нарушением срока - </w:t>
      </w:r>
      <w:r w:rsidR="0036085E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7D69A6">
        <w:rPr>
          <w:rFonts w:ascii="Times New Roman" w:hAnsi="Times New Roman"/>
          <w:color w:val="000000" w:themeColor="text1"/>
          <w:sz w:val="28"/>
          <w:szCs w:val="28"/>
        </w:rPr>
        <w:t>5,5</w:t>
      </w:r>
      <w:r w:rsidRPr="00B63351">
        <w:rPr>
          <w:rFonts w:ascii="Times New Roman" w:hAnsi="Times New Roman"/>
          <w:color w:val="000000" w:themeColor="text1"/>
          <w:sz w:val="28"/>
          <w:szCs w:val="28"/>
        </w:rPr>
        <w:t>%)</w:t>
      </w:r>
    </w:p>
    <w:p w:rsidR="00120B4C" w:rsidRPr="00120B4C" w:rsidRDefault="00120B4C" w:rsidP="00120B4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74EB2" w:rsidRPr="00574EB2" w:rsidRDefault="00574EB2" w:rsidP="00815D4C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AD0C3D">
        <w:rPr>
          <w:rFonts w:ascii="Times New Roman" w:eastAsia="Times New Roman" w:hAnsi="Times New Roman"/>
          <w:sz w:val="28"/>
          <w:szCs w:val="28"/>
          <w:lang w:eastAsia="ru-RU"/>
        </w:rPr>
        <w:t>Качество подготовки ответа заявителю является одним из основных требований  состояния исполнительской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Нарушение сроков предоставления ответ</w:t>
      </w:r>
      <w:r w:rsidR="004743BB">
        <w:rPr>
          <w:rFonts w:ascii="Times New Roman" w:eastAsia="Times New Roman" w:hAnsi="Times New Roman"/>
          <w:sz w:val="28"/>
          <w:szCs w:val="28"/>
          <w:lang w:eastAsia="ru-RU"/>
        </w:rPr>
        <w:t xml:space="preserve">а на обращение,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4EB2">
        <w:rPr>
          <w:rFonts w:ascii="Times New Roman" w:eastAsia="Times New Roman" w:hAnsi="Times New Roman"/>
          <w:sz w:val="28"/>
          <w:szCs w:val="28"/>
          <w:lang w:eastAsia="ru-RU"/>
        </w:rPr>
        <w:t>со ст.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5.59 КоАП РФ влечет наложение административного штрафа в размере </w:t>
      </w:r>
      <w:r w:rsidRPr="00574EB2">
        <w:rPr>
          <w:rFonts w:ascii="Times New Roman" w:eastAsiaTheme="minorHAnsi" w:hAnsi="Times New Roman"/>
          <w:b/>
          <w:sz w:val="28"/>
          <w:szCs w:val="28"/>
        </w:rPr>
        <w:t>от пяти тысяч до десяти тысяч рублей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на руководителя </w:t>
      </w:r>
      <w:r w:rsidR="00974BE7">
        <w:rPr>
          <w:rFonts w:ascii="Times New Roman" w:eastAsiaTheme="minorHAnsi" w:hAnsi="Times New Roman"/>
          <w:sz w:val="28"/>
          <w:szCs w:val="28"/>
        </w:rPr>
        <w:t>на чье имя поступило обращение.</w:t>
      </w:r>
    </w:p>
    <w:p w:rsidR="0036085E" w:rsidRDefault="0036085E" w:rsidP="00120B4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EB2" w:rsidRDefault="00574EB2" w:rsidP="00574EB2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Ежегодно на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заседании Государственно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Совета Республики Татарстан рассматривается вопрос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ходе реализации Закона "Об обращениях граждан в Республике Татарстан», в ходе которого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2019 году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 был отмечен как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неоднократно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допустивший наруше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ния, </w:t>
      </w:r>
      <w:r w:rsidRP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за текущий период наш  район в зону критики  не по одному из показателей не попал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. В тоже время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всем районам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были даны рекомендации:</w:t>
      </w:r>
    </w:p>
    <w:p w:rsidR="00574EB2" w:rsidRPr="00574EB2" w:rsidRDefault="00574EB2" w:rsidP="00574EB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необходимости</w:t>
      </w:r>
      <w:r w:rsidR="00974B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принят</w:t>
      </w:r>
      <w:r>
        <w:rPr>
          <w:rFonts w:ascii="Times New Roman" w:eastAsia="Times New Roman" w:hAnsi="Times New Roman"/>
          <w:color w:val="000000"/>
          <w:sz w:val="28"/>
          <w:szCs w:val="32"/>
        </w:rPr>
        <w:t>ия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дополнительны</w:t>
      </w:r>
      <w:r>
        <w:rPr>
          <w:rFonts w:ascii="Times New Roman" w:eastAsia="Times New Roman" w:hAnsi="Times New Roman"/>
          <w:color w:val="000000"/>
          <w:sz w:val="28"/>
          <w:szCs w:val="32"/>
        </w:rPr>
        <w:t>х мер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по повышению качества ответов, пред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ставляемых гражданам, подходить к рассмотрению обращений граждан с уче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том индивидуальных жизненных обстоятельств заявителей;</w:t>
      </w:r>
    </w:p>
    <w:p w:rsidR="00574EB2" w:rsidRPr="00574EB2" w:rsidRDefault="00574EB2" w:rsidP="00574EB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>- п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роводить систематический анализ работы с обращениями граждан и при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нять надлежащие меры по исключению фактов нарушения законодательства о порядке рассмотрения обращений граждан;</w:t>
      </w:r>
    </w:p>
    <w:p w:rsidR="00574EB2" w:rsidRPr="00574EB2" w:rsidRDefault="00574EB2" w:rsidP="00574EB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использовать новые формы взаимодействия с населением, в том числе пу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тем проведения личных приемов граждан с использованием современных тех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нологий, а также осуществлять выездные приемы граждан;</w:t>
      </w:r>
    </w:p>
    <w:p w:rsidR="00574EB2" w:rsidRDefault="00574EB2" w:rsidP="00574EB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повысить уровень исполнительской дисциплины при рассмотрении обра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щений граждан, при необходимости проводить служебные проверки в отно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шении лиц, допустивших нарушение законодательства в данной сфере, и принимать меры дисциплинарного взыскания к лицам, их допустившим;</w:t>
      </w:r>
    </w:p>
    <w:p w:rsidR="00574EB2" w:rsidRPr="00574EB2" w:rsidRDefault="004743BB" w:rsidP="00574EB2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учётом вышеизложенного, прошу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дать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соответствующее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поручения руководителям подведомственных учреждений, главам сельских поселений  о неукоснительном соблюдении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Закона "Об обращениях граждан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6085E" w:rsidRDefault="0036085E" w:rsidP="00120B4C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20B4C" w:rsidRPr="00D55884" w:rsidRDefault="00120B4C" w:rsidP="00120B4C">
      <w:r w:rsidRPr="00D55884">
        <w:rPr>
          <w:rFonts w:ascii="Times New Roman" w:hAnsi="Times New Roman"/>
          <w:sz w:val="28"/>
          <w:szCs w:val="28"/>
          <w:lang w:eastAsia="ru-RU"/>
        </w:rPr>
        <w:t>Начальник Общего отдела                                                          Биктимерова А.З.</w:t>
      </w:r>
    </w:p>
    <w:p w:rsidR="00120B4C" w:rsidRPr="00120B4C" w:rsidRDefault="00120B4C" w:rsidP="00120B4C">
      <w:pPr>
        <w:rPr>
          <w:color w:val="FF0000"/>
        </w:rPr>
      </w:pPr>
    </w:p>
    <w:p w:rsidR="00120B4C" w:rsidRPr="00120B4C" w:rsidRDefault="00120B4C" w:rsidP="00120B4C">
      <w:pPr>
        <w:rPr>
          <w:color w:val="FF0000"/>
        </w:rPr>
      </w:pPr>
    </w:p>
    <w:p w:rsidR="000F5F72" w:rsidRPr="00120B4C" w:rsidRDefault="00BB3593">
      <w:pPr>
        <w:rPr>
          <w:color w:val="FF0000"/>
        </w:rPr>
      </w:pPr>
    </w:p>
    <w:sectPr w:rsidR="000F5F72" w:rsidRPr="00120B4C" w:rsidSect="008F3604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98"/>
    <w:rsid w:val="0001344B"/>
    <w:rsid w:val="000D02AE"/>
    <w:rsid w:val="00101D17"/>
    <w:rsid w:val="00120B4C"/>
    <w:rsid w:val="001F67D1"/>
    <w:rsid w:val="00262F0F"/>
    <w:rsid w:val="002821DF"/>
    <w:rsid w:val="002E6526"/>
    <w:rsid w:val="00320AC1"/>
    <w:rsid w:val="003262EA"/>
    <w:rsid w:val="0036085E"/>
    <w:rsid w:val="003C2ADA"/>
    <w:rsid w:val="00413381"/>
    <w:rsid w:val="004743BB"/>
    <w:rsid w:val="004A197A"/>
    <w:rsid w:val="004C6A68"/>
    <w:rsid w:val="00574EB2"/>
    <w:rsid w:val="00593098"/>
    <w:rsid w:val="005E4F59"/>
    <w:rsid w:val="0062732D"/>
    <w:rsid w:val="00667F9E"/>
    <w:rsid w:val="00681092"/>
    <w:rsid w:val="007D0593"/>
    <w:rsid w:val="007D69A6"/>
    <w:rsid w:val="0081187F"/>
    <w:rsid w:val="00815D4C"/>
    <w:rsid w:val="008F3604"/>
    <w:rsid w:val="0090570F"/>
    <w:rsid w:val="009326F8"/>
    <w:rsid w:val="00943C4B"/>
    <w:rsid w:val="00974BE7"/>
    <w:rsid w:val="009B4685"/>
    <w:rsid w:val="009B5EB0"/>
    <w:rsid w:val="00AC2F2E"/>
    <w:rsid w:val="00B56114"/>
    <w:rsid w:val="00B63351"/>
    <w:rsid w:val="00B86DC7"/>
    <w:rsid w:val="00D55884"/>
    <w:rsid w:val="00E2037C"/>
    <w:rsid w:val="00E45BD0"/>
    <w:rsid w:val="00F25CAD"/>
    <w:rsid w:val="00F83DC6"/>
    <w:rsid w:val="00FB4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B4C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9B5E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B4C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9B5E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полуг.2020г.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\О\с\н\о\в\н\о\й</c:formatCode>
                <c:ptCount val="5"/>
                <c:pt idx="0">
                  <c:v>31</c:v>
                </c:pt>
                <c:pt idx="1">
                  <c:v>61</c:v>
                </c:pt>
                <c:pt idx="2">
                  <c:v>11</c:v>
                </c:pt>
                <c:pt idx="3">
                  <c:v>46</c:v>
                </c:pt>
                <c:pt idx="4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полуг. 2019г.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Лист1!$C$2:$C$6</c:f>
              <c:numCache>
                <c:formatCode>\О\с\н\о\в\н\о\й</c:formatCode>
                <c:ptCount val="5"/>
                <c:pt idx="0">
                  <c:v>41</c:v>
                </c:pt>
                <c:pt idx="1">
                  <c:v>62</c:v>
                </c:pt>
                <c:pt idx="2">
                  <c:v>9</c:v>
                </c:pt>
                <c:pt idx="3">
                  <c:v>46</c:v>
                </c:pt>
                <c:pt idx="4">
                  <c:v>77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полуг.2018г.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Лист1!$D$2:$D$6</c:f>
              <c:numCache>
                <c:formatCode>\О\с\н\о\в\н\о\й</c:formatCode>
                <c:ptCount val="5"/>
                <c:pt idx="0">
                  <c:v>36</c:v>
                </c:pt>
                <c:pt idx="1">
                  <c:v>114</c:v>
                </c:pt>
                <c:pt idx="2">
                  <c:v>14</c:v>
                </c:pt>
                <c:pt idx="3">
                  <c:v>59</c:v>
                </c:pt>
                <c:pt idx="4">
                  <c:v>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8226432"/>
        <c:axId val="148227968"/>
      </c:barChart>
      <c:catAx>
        <c:axId val="148226432"/>
        <c:scaling>
          <c:orientation val="minMax"/>
        </c:scaling>
        <c:delete val="0"/>
        <c:axPos val="b"/>
        <c:majorTickMark val="none"/>
        <c:minorTickMark val="none"/>
        <c:tickLblPos val="nextTo"/>
        <c:crossAx val="148227968"/>
        <c:crosses val="autoZero"/>
        <c:auto val="1"/>
        <c:lblAlgn val="ctr"/>
        <c:lblOffset val="100"/>
        <c:noMultiLvlLbl val="0"/>
      </c:catAx>
      <c:valAx>
        <c:axId val="148227968"/>
        <c:scaling>
          <c:orientation val="minMax"/>
        </c:scaling>
        <c:delete val="1"/>
        <c:axPos val="l"/>
        <c:numFmt formatCode="\О\с\н\о\в\н\о\й" sourceLinked="1"/>
        <c:majorTickMark val="none"/>
        <c:minorTickMark val="none"/>
        <c:tickLblPos val="nextTo"/>
        <c:crossAx val="148226432"/>
        <c:crosses val="autoZero"/>
        <c:crossBetween val="between"/>
      </c:valAx>
      <c:spPr>
        <a:pattFill prst="pct10">
          <a:fgClr>
            <a:schemeClr val="accent5">
              <a:lumMod val="40000"/>
              <a:lumOff val="60000"/>
            </a:schemeClr>
          </a:fgClr>
          <a:bgClr>
            <a:schemeClr val="bg1"/>
          </a:bgClr>
        </a:pattFill>
      </c:spPr>
    </c:plotArea>
    <c:legend>
      <c:legendPos val="t"/>
      <c:layout>
        <c:manualLayout>
          <c:xMode val="edge"/>
          <c:yMode val="edge"/>
          <c:x val="0.23001820536960016"/>
          <c:y val="0.14672634670666176"/>
          <c:w val="0.55256446997800757"/>
          <c:h val="9.9535370578677784E-2"/>
        </c:manualLayout>
      </c:layout>
      <c:overlay val="0"/>
    </c:legend>
    <c:plotVisOnly val="1"/>
    <c:dispBlanksAs val="gap"/>
    <c:showDLblsOverMax val="0"/>
  </c:chart>
  <c:spPr>
    <a:solidFill>
      <a:schemeClr val="accent5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Содержание и ремонт муницпальных дорог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Благоустройство территории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Организация дорожного движения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Лист1!$D$2</c:f>
              <c:numCache>
                <c:formatCode>\О\с\н\о\в\н\о\й</c:formatCode>
                <c:ptCount val="1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Сельское хозяйство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Лист1!$E$2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COVID-2019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Лист1!$F$2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Ветеран живет рядом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Опубликовано заявок</c:v>
                </c:pt>
              </c:strCache>
            </c:strRef>
          </c:cat>
          <c:val>
            <c:numRef>
              <c:f>Лист1!$G$2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52734336"/>
        <c:axId val="152965504"/>
      </c:barChart>
      <c:catAx>
        <c:axId val="152734336"/>
        <c:scaling>
          <c:orientation val="minMax"/>
        </c:scaling>
        <c:delete val="0"/>
        <c:axPos val="b"/>
        <c:numFmt formatCode="\О\с\н\о\в\н\о\й" sourceLinked="1"/>
        <c:majorTickMark val="none"/>
        <c:minorTickMark val="none"/>
        <c:tickLblPos val="nextTo"/>
        <c:crossAx val="152965504"/>
        <c:crosses val="autoZero"/>
        <c:auto val="1"/>
        <c:lblAlgn val="ctr"/>
        <c:lblOffset val="100"/>
        <c:noMultiLvlLbl val="0"/>
      </c:catAx>
      <c:valAx>
        <c:axId val="152965504"/>
        <c:scaling>
          <c:orientation val="minMax"/>
        </c:scaling>
        <c:delete val="0"/>
        <c:axPos val="l"/>
        <c:numFmt formatCode="\О\с\н\о\в\н\о\й" sourceLinked="1"/>
        <c:majorTickMark val="none"/>
        <c:minorTickMark val="none"/>
        <c:tickLblPos val="nextTo"/>
        <c:crossAx val="152734336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b"/>
      <c:overlay val="0"/>
    </c:legend>
    <c:plotVisOnly val="1"/>
    <c:dispBlanksAs val="gap"/>
    <c:showDLblsOverMax val="0"/>
  </c:chart>
  <c:spPr>
    <a:pattFill prst="pct5">
      <a:fgClr>
        <a:schemeClr val="bg2">
          <a:lumMod val="75000"/>
        </a:schemeClr>
      </a:fgClr>
      <a:bgClr>
        <a:schemeClr val="bg1"/>
      </a:bgClr>
    </a:patt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135467687949736E-2"/>
          <c:y val="0.3406197511880304"/>
          <c:w val="0.87508329046809008"/>
          <c:h val="0.59840280286065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Заявки, размещенные в ГИС "Народный контроль"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3824054218726503E-2"/>
                  <c:y val="-2.48862527937989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Запланировано</c:v>
                </c:pt>
                <c:pt idx="1">
                  <c:v>Мотивированный отказ</c:v>
                </c:pt>
                <c:pt idx="2">
                  <c:v>Решено</c:v>
                </c:pt>
              </c:strCache>
            </c:strRef>
          </c:cat>
          <c:val>
            <c:numRef>
              <c:f>Лист1!$B$2:$B$4</c:f>
              <c:numCache>
                <c:formatCode>\О\с\н\о\в\н\о\й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56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394">
          <a:noFill/>
        </a:ln>
      </c:spPr>
    </c:plotArea>
    <c:plotVisOnly val="1"/>
    <c:dispBlanksAs val="zero"/>
    <c:showDLblsOverMax val="0"/>
  </c:chart>
  <c:spPr>
    <a:gradFill>
      <a:gsLst>
        <a:gs pos="70400">
          <a:srgbClr val="CFDAF0"/>
        </a:gs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Исакаева</cp:lastModifiedBy>
  <cp:revision>2</cp:revision>
  <cp:lastPrinted>2020-07-27T12:45:00Z</cp:lastPrinted>
  <dcterms:created xsi:type="dcterms:W3CDTF">2020-07-27T13:32:00Z</dcterms:created>
  <dcterms:modified xsi:type="dcterms:W3CDTF">2020-07-27T13:32:00Z</dcterms:modified>
</cp:coreProperties>
</file>